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75F" w:rsidRPr="0027175F" w:rsidRDefault="0027175F" w:rsidP="0027175F">
      <w:pPr>
        <w:spacing w:before="300" w:after="300" w:line="240" w:lineRule="auto"/>
        <w:ind w:left="300" w:right="300"/>
        <w:outlineLvl w:val="0"/>
        <w:rPr>
          <w:rFonts w:ascii="Roboto" w:eastAsia="Times New Roman" w:hAnsi="Roboto" w:cs="Times New Roman"/>
          <w:b/>
          <w:bCs/>
          <w:color w:val="474747"/>
          <w:kern w:val="36"/>
          <w:sz w:val="33"/>
          <w:szCs w:val="33"/>
          <w:lang w:eastAsia="ru-RU"/>
        </w:rPr>
      </w:pPr>
      <w:r w:rsidRPr="0027175F">
        <w:rPr>
          <w:rFonts w:ascii="Roboto" w:eastAsia="Times New Roman" w:hAnsi="Roboto" w:cs="Times New Roman"/>
          <w:b/>
          <w:bCs/>
          <w:color w:val="474747"/>
          <w:kern w:val="36"/>
          <w:sz w:val="33"/>
          <w:szCs w:val="33"/>
          <w:lang w:eastAsia="ru-RU"/>
        </w:rPr>
        <w:t>ЗОННЫЕ СИСТЕМЫ ВОДОСНАБЖЕНИЯ ЗДАНИЙ</w:t>
      </w:r>
    </w:p>
    <w:p w:rsidR="0027175F" w:rsidRPr="0027175F" w:rsidRDefault="0027175F" w:rsidP="0027175F">
      <w:pPr>
        <w:spacing w:before="150" w:after="150" w:line="379" w:lineRule="atLeast"/>
        <w:ind w:left="150" w:right="150"/>
        <w:rPr>
          <w:rFonts w:ascii="Arial" w:eastAsia="Times New Roman" w:hAnsi="Arial" w:cs="Arial"/>
          <w:color w:val="3D3D3D"/>
          <w:sz w:val="26"/>
          <w:szCs w:val="26"/>
          <w:lang w:eastAsia="ru-RU"/>
        </w:rPr>
      </w:pPr>
      <w:r w:rsidRPr="0027175F">
        <w:rPr>
          <w:rFonts w:ascii="Arial" w:eastAsia="Times New Roman" w:hAnsi="Arial" w:cs="Arial"/>
          <w:color w:val="3D3D3D"/>
          <w:sz w:val="26"/>
          <w:szCs w:val="26"/>
          <w:lang w:eastAsia="ru-RU"/>
        </w:rPr>
        <w:t> </w:t>
      </w:r>
    </w:p>
    <w:p w:rsidR="0027175F" w:rsidRPr="0027175F" w:rsidRDefault="0027175F" w:rsidP="0027175F">
      <w:pPr>
        <w:spacing w:before="150" w:after="150" w:line="379" w:lineRule="atLeast"/>
        <w:ind w:left="150" w:right="150"/>
        <w:rPr>
          <w:rFonts w:ascii="Arial" w:eastAsia="Times New Roman" w:hAnsi="Arial" w:cs="Arial"/>
          <w:color w:val="3D3D3D"/>
          <w:sz w:val="26"/>
          <w:szCs w:val="26"/>
          <w:lang w:eastAsia="ru-RU"/>
        </w:rPr>
      </w:pPr>
      <w:r w:rsidRPr="0027175F">
        <w:rPr>
          <w:rFonts w:ascii="Arial" w:eastAsia="Times New Roman" w:hAnsi="Arial" w:cs="Arial"/>
          <w:color w:val="3D3D3D"/>
          <w:sz w:val="26"/>
          <w:szCs w:val="26"/>
          <w:lang w:eastAsia="ru-RU"/>
        </w:rPr>
        <w:t>Зонные системы внутреннего водопровода применяют в двух случаях. Во-первых, при превышении допустимых пределов гидростатического давления в системе и, во-вторых, для обособления условий работы системы по гидравлическому режиму, что чаще происходит при отделении части системы по питанию или по величинам напоров.</w:t>
      </w:r>
    </w:p>
    <w:p w:rsidR="0027175F" w:rsidRPr="0027175F" w:rsidRDefault="0027175F" w:rsidP="0027175F">
      <w:pPr>
        <w:spacing w:before="150" w:after="150" w:line="379" w:lineRule="atLeast"/>
        <w:ind w:left="150" w:right="150"/>
        <w:rPr>
          <w:rFonts w:ascii="Arial" w:eastAsia="Times New Roman" w:hAnsi="Arial" w:cs="Arial"/>
          <w:color w:val="3D3D3D"/>
          <w:sz w:val="26"/>
          <w:szCs w:val="26"/>
          <w:lang w:eastAsia="ru-RU"/>
        </w:rPr>
      </w:pPr>
      <w:r w:rsidRPr="0027175F">
        <w:rPr>
          <w:rFonts w:ascii="Arial" w:eastAsia="Times New Roman" w:hAnsi="Arial" w:cs="Arial"/>
          <w:color w:val="3D3D3D"/>
          <w:sz w:val="26"/>
          <w:szCs w:val="26"/>
          <w:lang w:eastAsia="ru-RU"/>
        </w:rPr>
        <w:t>Согласно </w:t>
      </w:r>
      <w:proofErr w:type="spellStart"/>
      <w:proofErr w:type="gramStart"/>
      <w:r w:rsidRPr="0027175F">
        <w:rPr>
          <w:rFonts w:ascii="Arial" w:eastAsia="Times New Roman" w:hAnsi="Arial" w:cs="Arial"/>
          <w:b/>
          <w:bCs/>
          <w:color w:val="3D3D3D"/>
          <w:sz w:val="26"/>
          <w:szCs w:val="26"/>
          <w:lang w:eastAsia="ru-RU"/>
        </w:rPr>
        <w:t>СНиП,</w:t>
      </w:r>
      <w:r w:rsidRPr="0027175F">
        <w:rPr>
          <w:rFonts w:ascii="Arial" w:eastAsia="Times New Roman" w:hAnsi="Arial" w:cs="Arial"/>
          <w:color w:val="3D3D3D"/>
          <w:sz w:val="26"/>
          <w:szCs w:val="26"/>
          <w:lang w:eastAsia="ru-RU"/>
        </w:rPr>
        <w:t>пп</w:t>
      </w:r>
      <w:proofErr w:type="spellEnd"/>
      <w:r w:rsidRPr="0027175F">
        <w:rPr>
          <w:rFonts w:ascii="Arial" w:eastAsia="Times New Roman" w:hAnsi="Arial" w:cs="Arial"/>
          <w:color w:val="3D3D3D"/>
          <w:sz w:val="26"/>
          <w:szCs w:val="26"/>
          <w:lang w:eastAsia="ru-RU"/>
        </w:rPr>
        <w:t>.</w:t>
      </w:r>
      <w:proofErr w:type="gramEnd"/>
      <w:r w:rsidRPr="0027175F">
        <w:rPr>
          <w:rFonts w:ascii="Arial" w:eastAsia="Times New Roman" w:hAnsi="Arial" w:cs="Arial"/>
          <w:color w:val="3D3D3D"/>
          <w:sz w:val="26"/>
          <w:szCs w:val="26"/>
          <w:lang w:eastAsia="ru-RU"/>
        </w:rPr>
        <w:t> </w:t>
      </w:r>
      <w:r w:rsidRPr="0027175F">
        <w:rPr>
          <w:rFonts w:ascii="Arial" w:eastAsia="Times New Roman" w:hAnsi="Arial" w:cs="Arial"/>
          <w:b/>
          <w:bCs/>
          <w:color w:val="3D3D3D"/>
          <w:sz w:val="26"/>
          <w:szCs w:val="26"/>
          <w:lang w:eastAsia="ru-RU"/>
        </w:rPr>
        <w:t>5.12</w:t>
      </w:r>
      <w:r w:rsidRPr="0027175F">
        <w:rPr>
          <w:rFonts w:ascii="Arial" w:eastAsia="Times New Roman" w:hAnsi="Arial" w:cs="Arial"/>
          <w:color w:val="3D3D3D"/>
          <w:sz w:val="26"/>
          <w:szCs w:val="26"/>
          <w:lang w:eastAsia="ru-RU"/>
        </w:rPr>
        <w:t>и </w:t>
      </w:r>
      <w:r w:rsidRPr="0027175F">
        <w:rPr>
          <w:rFonts w:ascii="Arial" w:eastAsia="Times New Roman" w:hAnsi="Arial" w:cs="Arial"/>
          <w:b/>
          <w:bCs/>
          <w:color w:val="3D3D3D"/>
          <w:sz w:val="26"/>
          <w:szCs w:val="26"/>
          <w:lang w:eastAsia="ru-RU"/>
        </w:rPr>
        <w:t>6.7,</w:t>
      </w:r>
      <w:r w:rsidRPr="0027175F">
        <w:rPr>
          <w:rFonts w:ascii="Arial" w:eastAsia="Times New Roman" w:hAnsi="Arial" w:cs="Arial"/>
          <w:color w:val="3D3D3D"/>
          <w:sz w:val="26"/>
          <w:szCs w:val="26"/>
          <w:lang w:eastAsia="ru-RU"/>
        </w:rPr>
        <w:t xml:space="preserve">наибольшая величина гидростатического давления в системе хозяйственно-питьевого или хозяйственно-противопожарного водопровода на отметке наиболее низко расположенного санитарно-технического прибора не должна превышать 60 м. В системе раздельного противопожарного водопровода величина гидростатического напора допускается до 90 м. В противном случае необходимо разделить водопровод на вертикальные зоны. Как правило, в современном строительстве к </w:t>
      </w:r>
      <w:proofErr w:type="spellStart"/>
      <w:r w:rsidRPr="0027175F">
        <w:rPr>
          <w:rFonts w:ascii="Arial" w:eastAsia="Times New Roman" w:hAnsi="Arial" w:cs="Arial"/>
          <w:color w:val="3D3D3D"/>
          <w:sz w:val="26"/>
          <w:szCs w:val="26"/>
          <w:lang w:eastAsia="ru-RU"/>
        </w:rPr>
        <w:t>двухзонной</w:t>
      </w:r>
      <w:proofErr w:type="spellEnd"/>
      <w:r w:rsidRPr="0027175F">
        <w:rPr>
          <w:rFonts w:ascii="Arial" w:eastAsia="Times New Roman" w:hAnsi="Arial" w:cs="Arial"/>
          <w:color w:val="3D3D3D"/>
          <w:sz w:val="26"/>
          <w:szCs w:val="26"/>
          <w:lang w:eastAsia="ru-RU"/>
        </w:rPr>
        <w:t xml:space="preserve"> системе приходится переходить в зданиях высотой более 17 этажей. Обычно первую (нижнюю) зону устраивают таким образом, чтобы использовать гарантийный напор городского водопровода. Размеры последующих зон, число которых может быть различным, назначают в зависимости от величин допустимого давления в сети внутреннего водопровода. Схемы зонных водопроводов могут быть последовательными и параллельными (рис. 2.3).</w:t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r>
        <w:rPr>
          <w:rStyle w:val="a4"/>
          <w:rFonts w:ascii="Arial" w:hAnsi="Arial" w:cs="Arial"/>
          <w:color w:val="3D3D3D"/>
          <w:sz w:val="26"/>
          <w:szCs w:val="26"/>
        </w:rPr>
        <w:t xml:space="preserve">Последовательная </w:t>
      </w:r>
      <w:proofErr w:type="gramStart"/>
      <w:r>
        <w:rPr>
          <w:rStyle w:val="a4"/>
          <w:rFonts w:ascii="Arial" w:hAnsi="Arial" w:cs="Arial"/>
          <w:color w:val="3D3D3D"/>
          <w:sz w:val="26"/>
          <w:szCs w:val="26"/>
        </w:rPr>
        <w:t>схема</w:t>
      </w:r>
      <w:r>
        <w:rPr>
          <w:rFonts w:ascii="Arial" w:hAnsi="Arial" w:cs="Arial"/>
          <w:color w:val="3D3D3D"/>
          <w:sz w:val="26"/>
          <w:szCs w:val="26"/>
        </w:rPr>
        <w:t>(</w:t>
      </w:r>
      <w:proofErr w:type="gramEnd"/>
      <w:r>
        <w:rPr>
          <w:rFonts w:ascii="Arial" w:hAnsi="Arial" w:cs="Arial"/>
          <w:color w:val="3D3D3D"/>
          <w:sz w:val="26"/>
          <w:szCs w:val="26"/>
        </w:rPr>
        <w:t>рис. 2.3, а) имеет меньшую протяженность трубопроводов, но менее надежна в работе, требует установки насосных агрегатов на промежуточных этажах, что крайне нежелательно из-за вибрации и шума. Кроме того, к числу крупных недостатков подобной системы следует отнести неоднократное размещение регулирующих объемов, т. е. нерациональное распределение и использование строительного объема здания под инженерное оборудование.</w:t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r>
        <w:rPr>
          <w:rStyle w:val="a4"/>
          <w:rFonts w:ascii="Arial" w:hAnsi="Arial" w:cs="Arial"/>
          <w:color w:val="3D3D3D"/>
          <w:sz w:val="26"/>
          <w:szCs w:val="26"/>
        </w:rPr>
        <w:t xml:space="preserve">Параллельная </w:t>
      </w:r>
      <w:proofErr w:type="gramStart"/>
      <w:r>
        <w:rPr>
          <w:rStyle w:val="a4"/>
          <w:rFonts w:ascii="Arial" w:hAnsi="Arial" w:cs="Arial"/>
          <w:color w:val="3D3D3D"/>
          <w:sz w:val="26"/>
          <w:szCs w:val="26"/>
        </w:rPr>
        <w:t>схема</w:t>
      </w:r>
      <w:r>
        <w:rPr>
          <w:rFonts w:ascii="Arial" w:hAnsi="Arial" w:cs="Arial"/>
          <w:color w:val="3D3D3D"/>
          <w:sz w:val="26"/>
          <w:szCs w:val="26"/>
        </w:rPr>
        <w:t>(</w:t>
      </w:r>
      <w:proofErr w:type="gramEnd"/>
      <w:r>
        <w:rPr>
          <w:rFonts w:ascii="Arial" w:hAnsi="Arial" w:cs="Arial"/>
          <w:color w:val="3D3D3D"/>
          <w:sz w:val="26"/>
          <w:szCs w:val="26"/>
        </w:rPr>
        <w:t xml:space="preserve">рис. 2.3, б)отличается некоторым перерасходом труб, но централизованное размещение насосных агрегатов упрощает автоматизацию их работы и эксплуатацию. Увеличение длины труб, прокладываемых по этой системе, не сопровождается значительным перерасходом металла (в весовых единицах), так как диаметры зонных </w:t>
      </w:r>
      <w:r>
        <w:rPr>
          <w:rFonts w:ascii="Arial" w:hAnsi="Arial" w:cs="Arial"/>
          <w:color w:val="3D3D3D"/>
          <w:sz w:val="26"/>
          <w:szCs w:val="26"/>
        </w:rPr>
        <w:lastRenderedPageBreak/>
        <w:t>стояков (так же, как и расходы подаваемой воды) по отдельным зонам неравнозначны.</w:t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r>
        <w:rPr>
          <w:rFonts w:ascii="Arial" w:hAnsi="Arial" w:cs="Arial"/>
          <w:noProof/>
          <w:color w:val="3D3D3D"/>
          <w:sz w:val="26"/>
          <w:szCs w:val="26"/>
        </w:rPr>
        <w:drawing>
          <wp:inline distT="0" distB="0" distL="0" distR="0">
            <wp:extent cx="3775710" cy="3636010"/>
            <wp:effectExtent l="0" t="0" r="0" b="2540"/>
            <wp:docPr id="1" name="Рисунок 1" descr="https://helpiks.org/helpiksorg/baza6/271240389137.files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helpiks.org/helpiksorg/baza6/271240389137.files/image00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5710" cy="363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r>
        <w:rPr>
          <w:rFonts w:ascii="Arial" w:hAnsi="Arial" w:cs="Arial"/>
          <w:color w:val="3D3D3D"/>
          <w:sz w:val="26"/>
          <w:szCs w:val="26"/>
        </w:rPr>
        <w:t>1 - центробежный насос 2-й зоны; 2</w:t>
      </w:r>
      <w:r>
        <w:rPr>
          <w:rFonts w:ascii="Arial" w:hAnsi="Arial" w:cs="Arial"/>
          <w:i/>
          <w:iCs/>
          <w:color w:val="3D3D3D"/>
          <w:sz w:val="26"/>
          <w:szCs w:val="26"/>
        </w:rPr>
        <w:t> -</w:t>
      </w:r>
      <w:r>
        <w:rPr>
          <w:rFonts w:ascii="Arial" w:hAnsi="Arial" w:cs="Arial"/>
          <w:color w:val="3D3D3D"/>
          <w:sz w:val="26"/>
          <w:szCs w:val="26"/>
        </w:rPr>
        <w:t> напорно-запасный бак 2-й зоны; 3 - насос 3-й зоны; 4 - напорно-запасный бак 3-й зоны</w:t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r>
        <w:rPr>
          <w:rStyle w:val="a4"/>
          <w:rFonts w:ascii="Arial" w:hAnsi="Arial" w:cs="Arial"/>
          <w:color w:val="3D3D3D"/>
          <w:sz w:val="26"/>
          <w:szCs w:val="26"/>
        </w:rPr>
        <w:t>Рис. 2.3. Последовательная (а) и параллельная (б) схемы зонных водопровод зданий</w:t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r>
        <w:rPr>
          <w:rFonts w:ascii="Arial" w:hAnsi="Arial" w:cs="Arial"/>
          <w:color w:val="3D3D3D"/>
          <w:sz w:val="26"/>
          <w:szCs w:val="26"/>
        </w:rPr>
        <w:t> </w:t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r>
        <w:rPr>
          <w:rFonts w:ascii="Arial" w:hAnsi="Arial" w:cs="Arial"/>
          <w:color w:val="3D3D3D"/>
          <w:sz w:val="26"/>
          <w:szCs w:val="26"/>
        </w:rPr>
        <w:t>В нижних зонах, как правило, потребляется больше воды и имеются стояки большего диаметра </w:t>
      </w:r>
      <w:r>
        <w:rPr>
          <w:rFonts w:ascii="Arial" w:hAnsi="Arial" w:cs="Arial"/>
          <w:i/>
          <w:iCs/>
          <w:color w:val="3D3D3D"/>
          <w:sz w:val="26"/>
          <w:szCs w:val="26"/>
        </w:rPr>
        <w:t>(</w:t>
      </w:r>
      <w:proofErr w:type="spellStart"/>
      <w:r>
        <w:rPr>
          <w:rFonts w:ascii="Arial" w:hAnsi="Arial" w:cs="Arial"/>
          <w:i/>
          <w:iCs/>
          <w:color w:val="3D3D3D"/>
          <w:sz w:val="26"/>
          <w:szCs w:val="26"/>
        </w:rPr>
        <w:t>q</w:t>
      </w:r>
      <w:proofErr w:type="gramStart"/>
      <w:r>
        <w:rPr>
          <w:rFonts w:ascii="Arial" w:hAnsi="Arial" w:cs="Arial"/>
          <w:i/>
          <w:iCs/>
          <w:color w:val="3D3D3D"/>
          <w:sz w:val="26"/>
          <w:szCs w:val="26"/>
          <w:vertAlign w:val="subscript"/>
        </w:rPr>
        <w:t>н</w:t>
      </w:r>
      <w:proofErr w:type="spellEnd"/>
      <w:r>
        <w:rPr>
          <w:rFonts w:ascii="Arial" w:hAnsi="Arial" w:cs="Arial"/>
          <w:i/>
          <w:iCs/>
          <w:color w:val="3D3D3D"/>
          <w:sz w:val="26"/>
          <w:szCs w:val="26"/>
        </w:rPr>
        <w:t> &gt;&gt;</w:t>
      </w:r>
      <w:proofErr w:type="spellStart"/>
      <w:r>
        <w:rPr>
          <w:rFonts w:ascii="Arial" w:hAnsi="Arial" w:cs="Arial"/>
          <w:i/>
          <w:iCs/>
          <w:color w:val="3D3D3D"/>
          <w:sz w:val="26"/>
          <w:szCs w:val="26"/>
        </w:rPr>
        <w:t>q</w:t>
      </w:r>
      <w:proofErr w:type="gramEnd"/>
      <w:r>
        <w:rPr>
          <w:rFonts w:ascii="Arial" w:hAnsi="Arial" w:cs="Arial"/>
          <w:i/>
          <w:iCs/>
          <w:color w:val="3D3D3D"/>
          <w:sz w:val="26"/>
          <w:szCs w:val="26"/>
          <w:vertAlign w:val="subscript"/>
        </w:rPr>
        <w:t>в</w:t>
      </w:r>
      <w:proofErr w:type="spellEnd"/>
      <w:r>
        <w:rPr>
          <w:rFonts w:ascii="Arial" w:hAnsi="Arial" w:cs="Arial"/>
          <w:i/>
          <w:iCs/>
          <w:color w:val="3D3D3D"/>
          <w:sz w:val="26"/>
          <w:szCs w:val="26"/>
        </w:rPr>
        <w:t xml:space="preserve">; </w:t>
      </w:r>
      <w:proofErr w:type="spellStart"/>
      <w:r>
        <w:rPr>
          <w:rFonts w:ascii="Arial" w:hAnsi="Arial" w:cs="Arial"/>
          <w:i/>
          <w:iCs/>
          <w:color w:val="3D3D3D"/>
          <w:sz w:val="26"/>
          <w:szCs w:val="26"/>
        </w:rPr>
        <w:t>d</w:t>
      </w:r>
      <w:r>
        <w:rPr>
          <w:rFonts w:ascii="Arial" w:hAnsi="Arial" w:cs="Arial"/>
          <w:i/>
          <w:iCs/>
          <w:color w:val="3D3D3D"/>
          <w:sz w:val="26"/>
          <w:szCs w:val="26"/>
          <w:vertAlign w:val="subscript"/>
        </w:rPr>
        <w:t>н</w:t>
      </w:r>
      <w:proofErr w:type="spellEnd"/>
      <w:r>
        <w:rPr>
          <w:rFonts w:ascii="Arial" w:hAnsi="Arial" w:cs="Arial"/>
          <w:i/>
          <w:iCs/>
          <w:color w:val="3D3D3D"/>
          <w:sz w:val="26"/>
          <w:szCs w:val="26"/>
        </w:rPr>
        <w:t> &gt;&gt;</w:t>
      </w:r>
      <w:proofErr w:type="spellStart"/>
      <w:r>
        <w:rPr>
          <w:rFonts w:ascii="Arial" w:hAnsi="Arial" w:cs="Arial"/>
          <w:i/>
          <w:iCs/>
          <w:color w:val="3D3D3D"/>
          <w:sz w:val="26"/>
          <w:szCs w:val="26"/>
        </w:rPr>
        <w:t>d</w:t>
      </w:r>
      <w:r>
        <w:rPr>
          <w:rFonts w:ascii="Arial" w:hAnsi="Arial" w:cs="Arial"/>
          <w:i/>
          <w:iCs/>
          <w:color w:val="3D3D3D"/>
          <w:sz w:val="26"/>
          <w:szCs w:val="26"/>
          <w:vertAlign w:val="subscript"/>
        </w:rPr>
        <w:t>в</w:t>
      </w:r>
      <w:proofErr w:type="spellEnd"/>
      <w:r>
        <w:rPr>
          <w:rFonts w:ascii="Arial" w:hAnsi="Arial" w:cs="Arial"/>
          <w:i/>
          <w:iCs/>
          <w:color w:val="3D3D3D"/>
          <w:sz w:val="26"/>
          <w:szCs w:val="26"/>
        </w:rPr>
        <w:t>).</w:t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r>
        <w:rPr>
          <w:rFonts w:ascii="Arial" w:hAnsi="Arial" w:cs="Arial"/>
          <w:color w:val="3D3D3D"/>
          <w:sz w:val="26"/>
          <w:szCs w:val="26"/>
        </w:rPr>
        <w:t>Вторая причина зонирования заключается в более полном использовании гарантийного напора городского водопровода, что позволяет эффективно использовать энергию городских насосов и рационально подбирать насосы -</w:t>
      </w:r>
      <w:proofErr w:type="spellStart"/>
      <w:r>
        <w:rPr>
          <w:rFonts w:ascii="Arial" w:hAnsi="Arial" w:cs="Arial"/>
          <w:color w:val="3D3D3D"/>
          <w:sz w:val="26"/>
          <w:szCs w:val="26"/>
        </w:rPr>
        <w:t>повысители</w:t>
      </w:r>
      <w:proofErr w:type="spellEnd"/>
      <w:r>
        <w:rPr>
          <w:rFonts w:ascii="Arial" w:hAnsi="Arial" w:cs="Arial"/>
          <w:color w:val="3D3D3D"/>
          <w:sz w:val="26"/>
          <w:szCs w:val="26"/>
        </w:rPr>
        <w:t xml:space="preserve"> только на расход и напор верхней зоны. Верхняя зона работает под напором дополнительных насосов.</w:t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proofErr w:type="spellStart"/>
      <w:r>
        <w:rPr>
          <w:rFonts w:ascii="Arial" w:hAnsi="Arial" w:cs="Arial"/>
          <w:color w:val="3D3D3D"/>
          <w:sz w:val="26"/>
          <w:szCs w:val="26"/>
        </w:rPr>
        <w:t>Двухзонные</w:t>
      </w:r>
      <w:proofErr w:type="spellEnd"/>
      <w:r>
        <w:rPr>
          <w:rFonts w:ascii="Arial" w:hAnsi="Arial" w:cs="Arial"/>
          <w:color w:val="3D3D3D"/>
          <w:sz w:val="26"/>
          <w:szCs w:val="26"/>
        </w:rPr>
        <w:t xml:space="preserve"> системы внутренних водопроводов, выполненные по обычной схеме (с отдельными хозяйственно-противопожарными разводящими трубопроводами для каждой зоны), значительно дороже </w:t>
      </w:r>
      <w:proofErr w:type="spellStart"/>
      <w:r>
        <w:rPr>
          <w:rFonts w:ascii="Arial" w:hAnsi="Arial" w:cs="Arial"/>
          <w:color w:val="3D3D3D"/>
          <w:sz w:val="26"/>
          <w:szCs w:val="26"/>
        </w:rPr>
        <w:t>однозонных</w:t>
      </w:r>
      <w:proofErr w:type="spellEnd"/>
      <w:r>
        <w:rPr>
          <w:rFonts w:ascii="Arial" w:hAnsi="Arial" w:cs="Arial"/>
          <w:color w:val="3D3D3D"/>
          <w:sz w:val="26"/>
          <w:szCs w:val="26"/>
        </w:rPr>
        <w:t xml:space="preserve"> систем по сметной стоимости. Следует отметить, что предлагаемая вниманию читателей новая система приемлема в первую </w:t>
      </w:r>
      <w:r>
        <w:rPr>
          <w:rFonts w:ascii="Arial" w:hAnsi="Arial" w:cs="Arial"/>
          <w:color w:val="3D3D3D"/>
          <w:sz w:val="26"/>
          <w:szCs w:val="26"/>
        </w:rPr>
        <w:lastRenderedPageBreak/>
        <w:t>очередь для секционных жилых зданий повышенной этажности (от 12 этажей и выше), так как в этих зданиях роль подающего трубопровода второй зоны играет пожарный стояк.</w:t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r>
        <w:rPr>
          <w:noProof/>
        </w:rPr>
        <w:drawing>
          <wp:inline distT="0" distB="0" distL="0" distR="0" wp14:anchorId="1BF59648" wp14:editId="37930839">
            <wp:extent cx="3614420" cy="2538730"/>
            <wp:effectExtent l="0" t="0" r="5080" b="0"/>
            <wp:docPr id="2" name="Рисунок 2" descr="https://helpiks.org/helpiksorg/baza6/271240389137.files/image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helpiks.org/helpiksorg/baza6/271240389137.files/image00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4420" cy="253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r>
        <w:rPr>
          <w:rFonts w:ascii="Arial" w:hAnsi="Arial" w:cs="Arial"/>
          <w:color w:val="3D3D3D"/>
          <w:sz w:val="26"/>
          <w:szCs w:val="26"/>
        </w:rPr>
        <w:t>1 - вводы водопровода; 2</w:t>
      </w:r>
      <w:r>
        <w:rPr>
          <w:rFonts w:ascii="Arial" w:hAnsi="Arial" w:cs="Arial"/>
          <w:i/>
          <w:iCs/>
          <w:color w:val="3D3D3D"/>
          <w:sz w:val="26"/>
          <w:szCs w:val="26"/>
        </w:rPr>
        <w:t> -</w:t>
      </w:r>
      <w:r>
        <w:rPr>
          <w:rFonts w:ascii="Arial" w:hAnsi="Arial" w:cs="Arial"/>
          <w:color w:val="3D3D3D"/>
          <w:sz w:val="26"/>
          <w:szCs w:val="26"/>
        </w:rPr>
        <w:t> хозяйственный насос второй зоны; 3 - противопожарный насос; 4</w:t>
      </w:r>
      <w:r>
        <w:rPr>
          <w:rFonts w:ascii="Arial" w:hAnsi="Arial" w:cs="Arial"/>
          <w:i/>
          <w:iCs/>
          <w:color w:val="3D3D3D"/>
          <w:sz w:val="26"/>
          <w:szCs w:val="26"/>
        </w:rPr>
        <w:t> -</w:t>
      </w:r>
      <w:r>
        <w:rPr>
          <w:rFonts w:ascii="Arial" w:hAnsi="Arial" w:cs="Arial"/>
          <w:color w:val="3D3D3D"/>
          <w:sz w:val="26"/>
          <w:szCs w:val="26"/>
        </w:rPr>
        <w:t> перемычка между подводящими магистральными трубопроводами; 5 - пожарные стояки; 6</w:t>
      </w:r>
      <w:r>
        <w:rPr>
          <w:rFonts w:ascii="Arial" w:hAnsi="Arial" w:cs="Arial"/>
          <w:i/>
          <w:iCs/>
          <w:color w:val="3D3D3D"/>
          <w:sz w:val="26"/>
          <w:szCs w:val="26"/>
        </w:rPr>
        <w:t> -</w:t>
      </w:r>
      <w:r>
        <w:rPr>
          <w:rFonts w:ascii="Arial" w:hAnsi="Arial" w:cs="Arial"/>
          <w:color w:val="3D3D3D"/>
          <w:sz w:val="26"/>
          <w:szCs w:val="26"/>
        </w:rPr>
        <w:t> хозяйственные водоразборные стояки; 7 - регулятор давления «после себя»; 8 - обратный клапан</w:t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r>
        <w:rPr>
          <w:rStyle w:val="a4"/>
          <w:rFonts w:ascii="Arial" w:hAnsi="Arial" w:cs="Arial"/>
          <w:color w:val="3D3D3D"/>
          <w:sz w:val="26"/>
          <w:szCs w:val="26"/>
        </w:rPr>
        <w:t xml:space="preserve">Рис. 2.4. </w:t>
      </w:r>
      <w:proofErr w:type="spellStart"/>
      <w:r>
        <w:rPr>
          <w:rStyle w:val="a4"/>
          <w:rFonts w:ascii="Arial" w:hAnsi="Arial" w:cs="Arial"/>
          <w:color w:val="3D3D3D"/>
          <w:sz w:val="26"/>
          <w:szCs w:val="26"/>
        </w:rPr>
        <w:t>Двухзонная</w:t>
      </w:r>
      <w:proofErr w:type="spellEnd"/>
      <w:r>
        <w:rPr>
          <w:rStyle w:val="a4"/>
          <w:rFonts w:ascii="Arial" w:hAnsi="Arial" w:cs="Arial"/>
          <w:color w:val="3D3D3D"/>
          <w:sz w:val="26"/>
          <w:szCs w:val="26"/>
        </w:rPr>
        <w:t xml:space="preserve"> схема водоснабжения зданий (М. Е. Соркин, МНИИТЭП)</w:t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r>
        <w:rPr>
          <w:rFonts w:ascii="Arial" w:hAnsi="Arial" w:cs="Arial"/>
          <w:color w:val="3D3D3D"/>
          <w:sz w:val="26"/>
          <w:szCs w:val="26"/>
        </w:rPr>
        <w:t> </w:t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r>
        <w:rPr>
          <w:rFonts w:ascii="Arial" w:hAnsi="Arial" w:cs="Arial"/>
          <w:color w:val="3D3D3D"/>
          <w:sz w:val="26"/>
          <w:szCs w:val="26"/>
        </w:rPr>
        <w:t xml:space="preserve">Согласно этой схеме, имеется только два разводящих трубопровода, причем каждый из них служит для подачи воды в соответствующую зону. В трубопровод первой зоны вода подается непосредственно из городского водопровода. Противопожарные насосы подключены к магистральному трубопроводу первой зоны. К магистрали второй зоны подключены насосы, обеспечивающие в ней необходимое давление. Оба магистральных трубопровода соединены между собой перемычками с </w:t>
      </w:r>
      <w:r>
        <w:rPr>
          <w:rFonts w:ascii="Arial" w:hAnsi="Arial" w:cs="Arial"/>
          <w:color w:val="3D3D3D"/>
          <w:sz w:val="26"/>
          <w:szCs w:val="26"/>
        </w:rPr>
        <w:lastRenderedPageBreak/>
        <w:t>установленными на них обратными клапанами таким образом, что они могут пропускать воду только из первой зоны во вторую.</w:t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r>
        <w:rPr>
          <w:rFonts w:ascii="Arial" w:hAnsi="Arial" w:cs="Arial"/>
          <w:color w:val="3D3D3D"/>
          <w:sz w:val="26"/>
          <w:szCs w:val="26"/>
        </w:rPr>
        <w:t xml:space="preserve">Сдвоенные пожарные стояки выполнены </w:t>
      </w:r>
      <w:proofErr w:type="spellStart"/>
      <w:r>
        <w:rPr>
          <w:rFonts w:ascii="Arial" w:hAnsi="Arial" w:cs="Arial"/>
          <w:color w:val="3D3D3D"/>
          <w:sz w:val="26"/>
          <w:szCs w:val="26"/>
        </w:rPr>
        <w:t>однозонными</w:t>
      </w:r>
      <w:proofErr w:type="spellEnd"/>
      <w:r>
        <w:rPr>
          <w:rFonts w:ascii="Arial" w:hAnsi="Arial" w:cs="Arial"/>
          <w:color w:val="3D3D3D"/>
          <w:sz w:val="26"/>
          <w:szCs w:val="26"/>
        </w:rPr>
        <w:t xml:space="preserve"> и присоединены к обеим магистралям. На подводке к этим стоякам от магистрали первой зоны также установлен обратный клапан. Водоразборные стояки первой второй зон подключены к соответствующим магистралям, но с той лишь разницей, что у первой зоны она с нижней разводкой, а у второй - с верхней. На присоединениях этих разводящих магистралей размещены регуляторы давления «после себя».</w:t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r>
        <w:rPr>
          <w:rFonts w:ascii="Arial" w:hAnsi="Arial" w:cs="Arial"/>
          <w:color w:val="3D3D3D"/>
          <w:sz w:val="26"/>
          <w:szCs w:val="26"/>
        </w:rPr>
        <w:t xml:space="preserve">Система работает следующим образом. При </w:t>
      </w:r>
      <w:proofErr w:type="spellStart"/>
      <w:r>
        <w:rPr>
          <w:rFonts w:ascii="Arial" w:hAnsi="Arial" w:cs="Arial"/>
          <w:color w:val="3D3D3D"/>
          <w:sz w:val="26"/>
          <w:szCs w:val="26"/>
        </w:rPr>
        <w:t>водоразборе</w:t>
      </w:r>
      <w:proofErr w:type="spellEnd"/>
      <w:r>
        <w:rPr>
          <w:rFonts w:ascii="Arial" w:hAnsi="Arial" w:cs="Arial"/>
          <w:color w:val="3D3D3D"/>
          <w:sz w:val="26"/>
          <w:szCs w:val="26"/>
        </w:rPr>
        <w:t xml:space="preserve"> давление в разводящей магистрали первой зоны меньше, чем в магистрали второй зоны, поэтому обратные клапаны на перемычках, соединяющих эти магистрали, закрыты. По этой же причине закрыты клапаны на подводках к пожарным стоякам от магистрали первой зоны. Таким образом, магистрали и водоразборные стояки первой и второй зон полностью изолированы друг от друга. Пожарные стояки находятся под давлением насосов второй зоны системы. Во время пожара при включении в работу насосов противопожарного назначения, создается большее давление, чем у насосов хозяйственного назначения второй зоны, поэтому под давлением воды пожарных насосов открываются обратные клапаны на перемычках между магистралями и на подводках к пожарным стоякам от магистрали первой зоны. Защита водоразборных стояков первой и второй зон от повышенного давления пожарных насосов обеспечивается регулятором давления «после себя». Вода подается к пожарным стоякам по двум трубопроводам, как и предписывается действующими нормами. Подача хозяйственного и пожарного расходов в систему по двум магистралям первой и второй зон обеспечивает снижение строительной стоимости системы по сравнению с такой же стоимостью </w:t>
      </w:r>
      <w:proofErr w:type="spellStart"/>
      <w:r>
        <w:rPr>
          <w:rFonts w:ascii="Arial" w:hAnsi="Arial" w:cs="Arial"/>
          <w:color w:val="3D3D3D"/>
          <w:sz w:val="26"/>
          <w:szCs w:val="26"/>
        </w:rPr>
        <w:t>двухзонных</w:t>
      </w:r>
      <w:proofErr w:type="spellEnd"/>
      <w:r>
        <w:rPr>
          <w:rFonts w:ascii="Arial" w:hAnsi="Arial" w:cs="Arial"/>
          <w:color w:val="3D3D3D"/>
          <w:sz w:val="26"/>
          <w:szCs w:val="26"/>
        </w:rPr>
        <w:t xml:space="preserve"> традиционных систем.</w:t>
      </w:r>
    </w:p>
    <w:p w:rsidR="0027175F" w:rsidRDefault="0027175F" w:rsidP="0027175F">
      <w:pPr>
        <w:pStyle w:val="a3"/>
        <w:spacing w:before="150" w:beforeAutospacing="0" w:after="150" w:afterAutospacing="0" w:line="379" w:lineRule="atLeast"/>
        <w:ind w:left="150" w:right="150"/>
        <w:rPr>
          <w:rFonts w:ascii="Arial" w:hAnsi="Arial" w:cs="Arial"/>
          <w:color w:val="3D3D3D"/>
          <w:sz w:val="26"/>
          <w:szCs w:val="26"/>
        </w:rPr>
      </w:pPr>
      <w:proofErr w:type="spellStart"/>
      <w:r>
        <w:rPr>
          <w:rFonts w:ascii="Arial" w:hAnsi="Arial" w:cs="Arial"/>
          <w:color w:val="3D3D3D"/>
          <w:sz w:val="26"/>
          <w:szCs w:val="26"/>
        </w:rPr>
        <w:t>Двухзонная</w:t>
      </w:r>
      <w:proofErr w:type="spellEnd"/>
      <w:r>
        <w:rPr>
          <w:rFonts w:ascii="Arial" w:hAnsi="Arial" w:cs="Arial"/>
          <w:color w:val="3D3D3D"/>
          <w:sz w:val="26"/>
          <w:szCs w:val="26"/>
        </w:rPr>
        <w:t xml:space="preserve"> система М. Е. Соркина может быть использована более широко не только в зданиях повышенной этажности (высотой более 50 м), но и в зданиях массового строительства (высотой от 9 до 16 этажей).</w:t>
      </w:r>
    </w:p>
    <w:p w:rsidR="007F3A6A" w:rsidRDefault="007F3A6A"/>
    <w:sectPr w:rsidR="007F3A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7CF"/>
    <w:rsid w:val="0027175F"/>
    <w:rsid w:val="004C07CF"/>
    <w:rsid w:val="007F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C834EE-E2E7-447F-90A9-4F2CA621E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7175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7175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717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717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40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896</Words>
  <Characters>5113</Characters>
  <Application>Microsoft Office Word</Application>
  <DocSecurity>0</DocSecurity>
  <Lines>42</Lines>
  <Paragraphs>11</Paragraphs>
  <ScaleCrop>false</ScaleCrop>
  <Company>SPecialiST RePack</Company>
  <LinksUpToDate>false</LinksUpToDate>
  <CharactersWithSpaces>5998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2022-12-25T14:00:00Z</dcterms:created>
  <dcterms:modified xsi:type="dcterms:W3CDTF">2022-12-25T14:04:00Z</dcterms:modified>
</cp:coreProperties>
</file>